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0" w:rsidRDefault="008254C0">
      <w:pPr>
        <w:spacing w:before="20" w:after="20" w:line="240" w:lineRule="exact"/>
        <w:rPr>
          <w:sz w:val="19"/>
          <w:szCs w:val="19"/>
        </w:rPr>
      </w:pPr>
    </w:p>
    <w:p w:rsidR="00FE244C" w:rsidRPr="00FE244C" w:rsidRDefault="00FE244C" w:rsidP="00FE244C">
      <w:pPr>
        <w:jc w:val="both"/>
        <w:rPr>
          <w:rFonts w:ascii="Times New Roman" w:hAnsi="Times New Roman" w:cs="Times New Roman"/>
          <w:b/>
        </w:rPr>
      </w:pPr>
      <w:r w:rsidRPr="00FE244C">
        <w:rPr>
          <w:rFonts w:ascii="Times New Roman" w:hAnsi="Times New Roman" w:cs="Times New Roman"/>
          <w:b/>
        </w:rPr>
        <w:t xml:space="preserve">Министерство природных ресурсов и экологии Российской Федерации дало разъяснения по вопросу отнесения образующихся в процессе содержания зелёных насаждений отходов к ТКО </w:t>
      </w:r>
    </w:p>
    <w:p w:rsidR="00FE244C" w:rsidRPr="00FE244C" w:rsidRDefault="00FE244C" w:rsidP="00FE244C">
      <w:pPr>
        <w:rPr>
          <w:rFonts w:ascii="Times New Roman" w:hAnsi="Times New Roman" w:cs="Times New Roman"/>
        </w:rPr>
      </w:pPr>
    </w:p>
    <w:p w:rsidR="008254C0" w:rsidRDefault="00FE244C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558B9" w:rsidRPr="00FE244C">
        <w:rPr>
          <w:rFonts w:ascii="Times New Roman" w:hAnsi="Times New Roman" w:cs="Times New Roman"/>
        </w:rPr>
        <w:t xml:space="preserve">Статьей 1 Федерального закона от 24 июня 1998 г.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 xml:space="preserve">89-ФЗ "Об отходах производства и потребления" (далее - Закон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 xml:space="preserve">89-ФЗ) определено, что твердыми коммунальными отходами (далее - ТКО) являются отходы, образующиеся в жилых помещениях </w:t>
      </w:r>
      <w:r w:rsidR="001558B9" w:rsidRPr="00FE244C">
        <w:rPr>
          <w:rFonts w:ascii="Times New Roman" w:hAnsi="Times New Roman" w:cs="Times New Roman"/>
        </w:rPr>
        <w:t>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</w:t>
      </w:r>
      <w:proofErr w:type="gramEnd"/>
      <w:r w:rsidR="001558B9" w:rsidRPr="00FE244C">
        <w:rPr>
          <w:rFonts w:ascii="Times New Roman" w:hAnsi="Times New Roman" w:cs="Times New Roman"/>
        </w:rPr>
        <w:t xml:space="preserve"> бытовых нужд. К ТКО также относятся отходы, образующиеся в</w:t>
      </w:r>
      <w:r w:rsidR="001558B9" w:rsidRPr="00FE244C">
        <w:rPr>
          <w:rFonts w:ascii="Times New Roman" w:hAnsi="Times New Roman" w:cs="Times New Roman"/>
        </w:rPr>
        <w:t xml:space="preserve">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соответствии со статьей 16 Жилищного кодекса Российской Федерации (далее - Ж</w:t>
      </w:r>
      <w:r w:rsidRPr="00FE244C">
        <w:rPr>
          <w:rFonts w:ascii="Times New Roman" w:hAnsi="Times New Roman" w:cs="Times New Roman"/>
        </w:rPr>
        <w:t>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</w:t>
      </w:r>
      <w:r w:rsidRPr="00FE244C">
        <w:rPr>
          <w:rFonts w:ascii="Times New Roman" w:hAnsi="Times New Roman" w:cs="Times New Roman"/>
        </w:rPr>
        <w:t xml:space="preserve">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</w:t>
      </w:r>
      <w:r w:rsidRPr="00FE244C">
        <w:rPr>
          <w:rFonts w:ascii="Times New Roman" w:hAnsi="Times New Roman" w:cs="Times New Roman"/>
        </w:rPr>
        <w:t>квартире.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</w:t>
      </w:r>
      <w:r w:rsidRPr="00FE244C">
        <w:rPr>
          <w:rFonts w:ascii="Times New Roman" w:hAnsi="Times New Roman" w:cs="Times New Roman"/>
        </w:rPr>
        <w:t>образующимся в жилых помещениях в процессе потребления физическими лицами.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Согласно статье 24.7 Закона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89-ФЗ собственники ТКО обязаны заключить договор на оказание услуг по обращению с ТКО с региональным оператором по обращению с ТКО (далее - региональны</w:t>
      </w:r>
      <w:r w:rsidRPr="00FE244C">
        <w:rPr>
          <w:rFonts w:ascii="Times New Roman" w:hAnsi="Times New Roman" w:cs="Times New Roman"/>
        </w:rPr>
        <w:t>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  <w:proofErr w:type="gramEnd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>Формулы для расчета платы за коммунал</w:t>
      </w:r>
      <w:r w:rsidRPr="00FE244C">
        <w:rPr>
          <w:rFonts w:ascii="Times New Roman" w:hAnsi="Times New Roman" w:cs="Times New Roman"/>
        </w:rPr>
        <w:t xml:space="preserve">ьную услугу по обращению с ТКО собственникам и пользователям помещений в многоквартирных домах (далее - МКД) и жилых домов, которые определены в приложении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2 к Правилам предоставления коммунальных услуг собственникам и пользователям помещений в МКД и жил</w:t>
      </w:r>
      <w:r w:rsidRPr="00FE244C">
        <w:rPr>
          <w:rFonts w:ascii="Times New Roman" w:hAnsi="Times New Roman" w:cs="Times New Roman"/>
        </w:rPr>
        <w:t xml:space="preserve">ых домов, утвержденным постановлением Правительства Российской Федерации от 6 мая 2011 г. </w:t>
      </w:r>
      <w:r w:rsidRPr="00FE244C">
        <w:rPr>
          <w:rFonts w:ascii="Times New Roman" w:hAnsi="Times New Roman" w:cs="Times New Roman"/>
        </w:rPr>
        <w:t>N</w:t>
      </w:r>
      <w:r w:rsid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354 (Правила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354), применяются в</w:t>
      </w:r>
      <w:proofErr w:type="gramEnd"/>
      <w:r w:rsidRPr="00FE244C">
        <w:rPr>
          <w:rFonts w:ascii="Times New Roman" w:hAnsi="Times New Roman" w:cs="Times New Roman"/>
        </w:rPr>
        <w:t xml:space="preserve"> зависимости от принятого на территории </w:t>
      </w:r>
      <w:proofErr w:type="gramStart"/>
      <w:r w:rsidRPr="00FE244C">
        <w:rPr>
          <w:rFonts w:ascii="Times New Roman" w:hAnsi="Times New Roman" w:cs="Times New Roman"/>
        </w:rPr>
        <w:t>субъекта Российской Федерации порядка оплаты коммунальной услуги</w:t>
      </w:r>
      <w:proofErr w:type="gramEnd"/>
      <w:r w:rsidRPr="00FE244C">
        <w:rPr>
          <w:rFonts w:ascii="Times New Roman" w:hAnsi="Times New Roman" w:cs="Times New Roman"/>
        </w:rPr>
        <w:t xml:space="preserve"> по обращению с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При э</w:t>
      </w:r>
      <w:r w:rsidRPr="00FE244C">
        <w:rPr>
          <w:rFonts w:ascii="Times New Roman" w:hAnsi="Times New Roman" w:cs="Times New Roman"/>
        </w:rPr>
        <w:t xml:space="preserve">том согласно положениям статьи 24.10 Закона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89-ФЗ объем и (или) масса ТКО определяются исходя из нормативов накопления ТКО в случаях, установленных Правилами коммерческого учета объема и (или) массы твердых коммунальных отходов, утвержденными постановлен</w:t>
      </w:r>
      <w:r w:rsidRPr="00FE244C">
        <w:rPr>
          <w:rFonts w:ascii="Times New Roman" w:hAnsi="Times New Roman" w:cs="Times New Roman"/>
        </w:rPr>
        <w:t xml:space="preserve">ием Правительства Российской Федерации от 3 июня 2016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505 (Правила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505).</w:t>
      </w: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Согласно пункту 6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505 в целях осуществления расчетов с собственниками ТКО коммерческий учет ТКО осуществляется в соответствии с подпунктом "а" пункта 5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505, с</w:t>
      </w:r>
      <w:r w:rsidRPr="00FE244C">
        <w:rPr>
          <w:rFonts w:ascii="Times New Roman" w:hAnsi="Times New Roman" w:cs="Times New Roman"/>
        </w:rPr>
        <w:t>огласно которому коммерческий учет ТКО осуществляется расчетным путем исходя из: нормативов накопления ТКО, выраженных в количественных показателях объема; количества и объема контейнеров для накопления ТКО, установленных в местах накопления ТКО.</w:t>
      </w:r>
      <w:proofErr w:type="gramEnd"/>
      <w:r w:rsidRPr="00FE244C">
        <w:rPr>
          <w:rFonts w:ascii="Times New Roman" w:hAnsi="Times New Roman" w:cs="Times New Roman"/>
        </w:rPr>
        <w:t xml:space="preserve"> Положения</w:t>
      </w:r>
      <w:r w:rsidRPr="00FE244C">
        <w:rPr>
          <w:rFonts w:ascii="Times New Roman" w:hAnsi="Times New Roman" w:cs="Times New Roman"/>
        </w:rPr>
        <w:t xml:space="preserve"> в части коммерческого учета ТКО применительно к собственникам жилых помещений (жилой дом, квартира) уточняются в Правилах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354.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lastRenderedPageBreak/>
        <w:t>Нормативы накопления ТКО устанавливаются органами исполнительной власти субъекта Российской Федерации или органами местного са</w:t>
      </w:r>
      <w:r w:rsidRPr="00FE244C">
        <w:rPr>
          <w:rFonts w:ascii="Times New Roman" w:hAnsi="Times New Roman" w:cs="Times New Roman"/>
        </w:rPr>
        <w:t>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Правилами определения нормативов накопления твердых коммунальных отходов, утвержденными постановлением</w:t>
      </w:r>
      <w:r w:rsidRPr="00FE244C">
        <w:rPr>
          <w:rFonts w:ascii="Times New Roman" w:hAnsi="Times New Roman" w:cs="Times New Roman"/>
        </w:rPr>
        <w:t xml:space="preserve"> Правительства Российской Федерации от 4 апреля 2016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269 (далее - Правила определения нормативов), и Методическими рекомендациями по вопросам, связанным</w:t>
      </w:r>
      <w:proofErr w:type="gramEnd"/>
      <w:r w:rsidRPr="00FE244C">
        <w:rPr>
          <w:rFonts w:ascii="Times New Roman" w:hAnsi="Times New Roman" w:cs="Times New Roman"/>
        </w:rPr>
        <w:t xml:space="preserve"> с определением нормативов накопления твердых коммунальных отходов, утвержденными приказом Минстроя</w:t>
      </w:r>
      <w:r w:rsidRPr="00FE244C">
        <w:rPr>
          <w:rFonts w:ascii="Times New Roman" w:hAnsi="Times New Roman" w:cs="Times New Roman"/>
        </w:rPr>
        <w:t xml:space="preserve"> России от 28 июля 2016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524/</w:t>
      </w:r>
      <w:proofErr w:type="spellStart"/>
      <w:proofErr w:type="gramStart"/>
      <w:r w:rsidRPr="00FE244C">
        <w:rPr>
          <w:rFonts w:ascii="Times New Roman" w:hAnsi="Times New Roman" w:cs="Times New Roman"/>
        </w:rPr>
        <w:t>пр</w:t>
      </w:r>
      <w:proofErr w:type="spellEnd"/>
      <w:proofErr w:type="gramEnd"/>
      <w:r w:rsidRPr="00FE244C">
        <w:rPr>
          <w:rFonts w:ascii="Times New Roman" w:hAnsi="Times New Roman" w:cs="Times New Roman"/>
        </w:rPr>
        <w:t xml:space="preserve"> (далее - Методические рекомендации).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214E2E">
        <w:rPr>
          <w:rFonts w:ascii="Times New Roman" w:hAnsi="Times New Roman" w:cs="Times New Roman"/>
          <w:b/>
        </w:rPr>
        <w:t xml:space="preserve"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Законом </w:t>
      </w:r>
      <w:r w:rsidRPr="00214E2E">
        <w:rPr>
          <w:rFonts w:ascii="Times New Roman" w:hAnsi="Times New Roman" w:cs="Times New Roman"/>
          <w:b/>
        </w:rPr>
        <w:t>N</w:t>
      </w:r>
      <w:r w:rsidRPr="00214E2E">
        <w:rPr>
          <w:rFonts w:ascii="Times New Roman" w:hAnsi="Times New Roman" w:cs="Times New Roman"/>
          <w:b/>
        </w:rPr>
        <w:t xml:space="preserve"> </w:t>
      </w:r>
      <w:r w:rsidRPr="00214E2E">
        <w:rPr>
          <w:rFonts w:ascii="Times New Roman" w:hAnsi="Times New Roman" w:cs="Times New Roman"/>
          <w:b/>
        </w:rPr>
        <w:t>89-ФЗ, по основному признаку, так как являются отходами, образованными вне жилых помещений.</w:t>
      </w:r>
      <w:proofErr w:type="gramEnd"/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Вместе с тем, согласно пункту 3 Правил определения нормативов в целях определения нормативов в составе отходов учитываются также отходы, образующиеся при уборке </w:t>
      </w:r>
      <w:r w:rsidRPr="00FE244C">
        <w:rPr>
          <w:rFonts w:ascii="Times New Roman" w:hAnsi="Times New Roman" w:cs="Times New Roman"/>
        </w:rPr>
        <w:t>придомовой территории.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свою очередь Методическими рекомендациями утвержден рекомендуемый перечень категорий объектов, на которых образуются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Таким образом, </w:t>
      </w:r>
      <w:proofErr w:type="gramStart"/>
      <w:r w:rsidRPr="00FE244C">
        <w:rPr>
          <w:rFonts w:ascii="Times New Roman" w:hAnsi="Times New Roman" w:cs="Times New Roman"/>
        </w:rPr>
        <w:t>уличный</w:t>
      </w:r>
      <w:proofErr w:type="gramEnd"/>
      <w:r w:rsidRPr="00FE244C">
        <w:rPr>
          <w:rFonts w:ascii="Times New Roman" w:hAnsi="Times New Roman" w:cs="Times New Roman"/>
        </w:rPr>
        <w:t xml:space="preserve"> смет, образующийся при уборке придомовой территории, подлежит учету при определении </w:t>
      </w:r>
      <w:r w:rsidRPr="00FE244C">
        <w:rPr>
          <w:rFonts w:ascii="Times New Roman" w:hAnsi="Times New Roman" w:cs="Times New Roman"/>
        </w:rPr>
        <w:t>нормативов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соответствии с ЖК РФ,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</w:t>
      </w:r>
      <w:r w:rsidRPr="00FE244C">
        <w:rPr>
          <w:rFonts w:ascii="Times New Roman" w:hAnsi="Times New Roman" w:cs="Times New Roman"/>
        </w:rPr>
        <w:t>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Согласно ГОСТ </w:t>
      </w:r>
      <w:proofErr w:type="gramStart"/>
      <w:r w:rsidRPr="00FE244C">
        <w:rPr>
          <w:rFonts w:ascii="Times New Roman" w:hAnsi="Times New Roman" w:cs="Times New Roman"/>
        </w:rPr>
        <w:t>Р</w:t>
      </w:r>
      <w:proofErr w:type="gramEnd"/>
      <w:r w:rsidRPr="00FE244C">
        <w:rPr>
          <w:rFonts w:ascii="Times New Roman" w:hAnsi="Times New Roman" w:cs="Times New Roman"/>
        </w:rPr>
        <w:t xml:space="preserve"> 56</w:t>
      </w:r>
      <w:r w:rsidRPr="00FE244C">
        <w:rPr>
          <w:rFonts w:ascii="Times New Roman" w:hAnsi="Times New Roman" w:cs="Times New Roman"/>
        </w:rPr>
        <w:t>195-2014 "Национальный стандарт Российской Федерации. Услуги жилищно-коммунального хозяйства и управления многоквартирными домами.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Услуги содержания придомовой территории, сбор и вывоз бытовых отходов. Общие требования" (утвержден и введен в действие с 1 и</w:t>
      </w:r>
      <w:r w:rsidRPr="00FE244C">
        <w:rPr>
          <w:rFonts w:ascii="Times New Roman" w:hAnsi="Times New Roman" w:cs="Times New Roman"/>
        </w:rPr>
        <w:t xml:space="preserve">юля 2015 г. приказом </w:t>
      </w:r>
      <w:proofErr w:type="spellStart"/>
      <w:r w:rsidRPr="00FE244C">
        <w:rPr>
          <w:rFonts w:ascii="Times New Roman" w:hAnsi="Times New Roman" w:cs="Times New Roman"/>
        </w:rPr>
        <w:t>Росстандарта</w:t>
      </w:r>
      <w:proofErr w:type="spellEnd"/>
      <w:r w:rsidRPr="00FE244C">
        <w:rPr>
          <w:rFonts w:ascii="Times New Roman" w:hAnsi="Times New Roman" w:cs="Times New Roman"/>
        </w:rPr>
        <w:t xml:space="preserve"> от 27 октября 2014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1447-ст) в перечень работ по уборке придомовой территории в летний </w:t>
      </w:r>
      <w:proofErr w:type="gramStart"/>
      <w:r w:rsidRPr="00FE244C">
        <w:rPr>
          <w:rFonts w:ascii="Times New Roman" w:hAnsi="Times New Roman" w:cs="Times New Roman"/>
        </w:rPr>
        <w:t>период</w:t>
      </w:r>
      <w:proofErr w:type="gramEnd"/>
      <w:r w:rsidRPr="00FE244C">
        <w:rPr>
          <w:rFonts w:ascii="Times New Roman" w:hAnsi="Times New Roman" w:cs="Times New Roman"/>
        </w:rPr>
        <w:t xml:space="preserve"> в том числе входит надлежащий уход за зелеными насаждениями в соответствии с технологиями ухода и инструкцией по их содержан</w:t>
      </w:r>
      <w:r w:rsidRPr="00FE244C">
        <w:rPr>
          <w:rFonts w:ascii="Times New Roman" w:hAnsi="Times New Roman" w:cs="Times New Roman"/>
        </w:rPr>
        <w:t>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МКД, при нал</w:t>
      </w:r>
      <w:r w:rsidRPr="00FE244C">
        <w:rPr>
          <w:rFonts w:ascii="Times New Roman" w:hAnsi="Times New Roman" w:cs="Times New Roman"/>
        </w:rPr>
        <w:t>ичии порубочного билета.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В соответствии с минимальным перечнем услуг и работ, необходимых </w:t>
      </w:r>
      <w:r w:rsidRPr="00FE244C">
        <w:rPr>
          <w:rFonts w:ascii="Times New Roman" w:hAnsi="Times New Roman" w:cs="Times New Roman"/>
        </w:rPr>
        <w:t xml:space="preserve">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</w:t>
      </w:r>
      <w:r w:rsidR="00214E2E">
        <w:rPr>
          <w:rFonts w:ascii="Times New Roman" w:hAnsi="Times New Roman" w:cs="Times New Roman"/>
        </w:rPr>
        <w:t xml:space="preserve">  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290 (далее - Постановление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290), работы по содержанию придомовой территории в теплый пери</w:t>
      </w:r>
      <w:r w:rsidRPr="00FE244C">
        <w:rPr>
          <w:rFonts w:ascii="Times New Roman" w:hAnsi="Times New Roman" w:cs="Times New Roman"/>
        </w:rPr>
        <w:t>од года включают в себя: подметание и уборку придомовой территории, очистку от мусора и промывку урн, установленных возле подъездов</w:t>
      </w:r>
      <w:proofErr w:type="gramEnd"/>
      <w:r w:rsidRPr="00FE244C">
        <w:rPr>
          <w:rFonts w:ascii="Times New Roman" w:hAnsi="Times New Roman" w:cs="Times New Roman"/>
        </w:rPr>
        <w:t>, уборку и выкашивание газонов, прочистку ливневой канализации; уборку крыльца и площадки перед входом в подъезд, а также очи</w:t>
      </w:r>
      <w:r w:rsidRPr="00FE244C">
        <w:rPr>
          <w:rFonts w:ascii="Times New Roman" w:hAnsi="Times New Roman" w:cs="Times New Roman"/>
        </w:rPr>
        <w:t>стку металлической решетки и приямка.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lastRenderedPageBreak/>
        <w:t xml:space="preserve">На основании </w:t>
      </w:r>
      <w:proofErr w:type="gramStart"/>
      <w:r w:rsidRPr="00214E2E">
        <w:rPr>
          <w:rFonts w:ascii="Times New Roman" w:hAnsi="Times New Roman" w:cs="Times New Roman"/>
          <w:b/>
        </w:rPr>
        <w:t>изложенного</w:t>
      </w:r>
      <w:proofErr w:type="gramEnd"/>
      <w:r w:rsidRPr="00214E2E">
        <w:rPr>
          <w:rFonts w:ascii="Times New Roman" w:hAnsi="Times New Roman" w:cs="Times New Roman"/>
          <w:b/>
        </w:rPr>
        <w:t>, растительные отходы, образованные при уходе за древесно-кустарниковыми посадками, не относятся к ТКО.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t>Указанные отходы подлежат вывозу в соответствии с договором, заключенным с лицами (организ</w:t>
      </w:r>
      <w:r w:rsidRPr="00214E2E">
        <w:rPr>
          <w:rFonts w:ascii="Times New Roman" w:hAnsi="Times New Roman" w:cs="Times New Roman"/>
          <w:b/>
        </w:rPr>
        <w:t>ациями), обладающими соответствующей разрешительной документацией по нерегулируемой цене.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t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</w:t>
      </w:r>
      <w:r w:rsidRPr="00214E2E">
        <w:rPr>
          <w:rFonts w:ascii="Times New Roman" w:hAnsi="Times New Roman" w:cs="Times New Roman"/>
          <w:b/>
        </w:rPr>
        <w:t xml:space="preserve">уют понятийному аппарату Закона </w:t>
      </w:r>
      <w:r w:rsidRPr="00214E2E">
        <w:rPr>
          <w:rFonts w:ascii="Times New Roman" w:hAnsi="Times New Roman" w:cs="Times New Roman"/>
          <w:b/>
        </w:rPr>
        <w:t>N</w:t>
      </w:r>
      <w:r w:rsidRPr="00214E2E">
        <w:rPr>
          <w:rFonts w:ascii="Times New Roman" w:hAnsi="Times New Roman" w:cs="Times New Roman"/>
          <w:b/>
        </w:rPr>
        <w:t xml:space="preserve"> </w:t>
      </w:r>
      <w:r w:rsidRPr="00214E2E">
        <w:rPr>
          <w:rFonts w:ascii="Times New Roman" w:hAnsi="Times New Roman" w:cs="Times New Roman"/>
          <w:b/>
        </w:rPr>
        <w:t>89-ФЗ, а также учтены в нормативах накопления ТКО.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214E2E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1558B9" w:rsidRPr="00FE244C">
        <w:rPr>
          <w:rFonts w:ascii="Times New Roman" w:hAnsi="Times New Roman" w:cs="Times New Roman"/>
        </w:rPr>
        <w:t xml:space="preserve">Правилами обращения с твердыми коммунальными отходами, утвержденными постановлением Правительства Российской Федерации от 12 ноября 2016 г.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 xml:space="preserve">1156 (далее - Правила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1156), установлено, что крупногабаритные отходы (далее - КГО)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  <w:proofErr w:type="gramEnd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В соответствии с Правилами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 пот</w:t>
      </w:r>
      <w:r w:rsidRPr="00FE244C">
        <w:rPr>
          <w:rFonts w:ascii="Times New Roman" w:hAnsi="Times New Roman" w:cs="Times New Roman"/>
        </w:rPr>
        <w:t>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 осуществляют складирование ТКО и КГО в местах сбора и накопления ТКО, определенных договором н</w:t>
      </w:r>
      <w:r w:rsidRPr="00FE244C">
        <w:rPr>
          <w:rFonts w:ascii="Times New Roman" w:hAnsi="Times New Roman" w:cs="Times New Roman"/>
        </w:rPr>
        <w:t>а оказание услуг по обращению с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Способы складирования КГО:</w:t>
      </w:r>
    </w:p>
    <w:p w:rsidR="008254C0" w:rsidRDefault="00214E2E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58B9" w:rsidRPr="00FE244C">
        <w:rPr>
          <w:rFonts w:ascii="Times New Roman" w:hAnsi="Times New Roman" w:cs="Times New Roman"/>
        </w:rPr>
        <w:t>В бункеры, расположенные на контейнерных площадках;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214E2E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558B9" w:rsidRPr="00FE244C">
        <w:rPr>
          <w:rFonts w:ascii="Times New Roman" w:hAnsi="Times New Roman" w:cs="Times New Roman"/>
        </w:rPr>
        <w:t>На специальных площадках для складирования КГО.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связи с тем, что площадки для складирования КГО могут быть расположены не в непосредственн</w:t>
      </w:r>
      <w:r w:rsidRPr="00FE244C">
        <w:rPr>
          <w:rFonts w:ascii="Times New Roman" w:hAnsi="Times New Roman" w:cs="Times New Roman"/>
        </w:rPr>
        <w:t xml:space="preserve">ой близости от источника их образования, пунктом 12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 предусматривается, что потребители имеют самостоятельную возможность доставить</w:t>
      </w:r>
      <w:r w:rsidR="00214E2E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КГО на площадку для их складирования, определенную договором на оказание услуг по обращению с ТКО с региональны</w:t>
      </w:r>
      <w:r w:rsidRPr="00FE244C">
        <w:rPr>
          <w:rFonts w:ascii="Times New Roman" w:hAnsi="Times New Roman" w:cs="Times New Roman"/>
        </w:rPr>
        <w:t>м оператором.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На основании изложенного, КГО образуются у физических лиц и подлежат вывозу региональным оператором в рамках установленного единого тарифа на услугу по обращению с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С учетом положений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1156 в части определения КГО, их </w:t>
      </w:r>
      <w:r w:rsidRPr="00FE244C">
        <w:rPr>
          <w:rFonts w:ascii="Times New Roman" w:hAnsi="Times New Roman" w:cs="Times New Roman"/>
        </w:rPr>
        <w:t>складирования, а также Правил определения нормативов в отношении проведения 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</w:t>
      </w:r>
      <w:r w:rsidRPr="00FE244C">
        <w:rPr>
          <w:rFonts w:ascii="Times New Roman" w:hAnsi="Times New Roman" w:cs="Times New Roman"/>
        </w:rPr>
        <w:t>твом.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t>Таким образом,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>При этом согласно статье 1 Градостроительного кодекса Ро</w:t>
      </w:r>
      <w:r w:rsidRPr="00FE244C">
        <w:rPr>
          <w:rFonts w:ascii="Times New Roman" w:hAnsi="Times New Roman" w:cs="Times New Roman"/>
        </w:rPr>
        <w:t>ссийской Федерации под капитальным ремонтом объектов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строительства или элементов таких конструкций, за иск</w:t>
      </w:r>
      <w:r w:rsidRPr="00FE244C">
        <w:rPr>
          <w:rFonts w:ascii="Times New Roman" w:hAnsi="Times New Roman" w:cs="Times New Roman"/>
        </w:rPr>
        <w:t>лючением несущих строительных конструкций, замена и (или) восстановление систем инженерно- технического обеспечения и сетей инженерно-технического обеспечения объектов капитального строительства или их элементов, а также замена отдельных</w:t>
      </w:r>
      <w:proofErr w:type="gramEnd"/>
      <w:r w:rsidRPr="00FE244C">
        <w:rPr>
          <w:rFonts w:ascii="Times New Roman" w:hAnsi="Times New Roman" w:cs="Times New Roman"/>
        </w:rPr>
        <w:t xml:space="preserve"> элементов несущих </w:t>
      </w:r>
      <w:r w:rsidRPr="00FE244C">
        <w:rPr>
          <w:rFonts w:ascii="Times New Roman" w:hAnsi="Times New Roman" w:cs="Times New Roman"/>
        </w:rPr>
        <w:t xml:space="preserve">строительных конструкции на аналогичные или иные улучшающие показатели таких </w:t>
      </w:r>
      <w:r w:rsidRPr="00FE244C">
        <w:rPr>
          <w:rFonts w:ascii="Times New Roman" w:hAnsi="Times New Roman" w:cs="Times New Roman"/>
        </w:rPr>
        <w:lastRenderedPageBreak/>
        <w:t>конструкций элементы и (или) восстановление указанных элементов.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t>Таким образом, отходы, образованные при капитальном ремонте жилых помещений (это работы по замене и восстановлению</w:t>
      </w:r>
      <w:r w:rsidRPr="00214E2E">
        <w:rPr>
          <w:rFonts w:ascii="Times New Roman" w:hAnsi="Times New Roman" w:cs="Times New Roman"/>
          <w:b/>
        </w:rPr>
        <w:t xml:space="preserve"> несущих, ограждающих и коммуникационных конструкций, пришедших в негодность в результате эксплуатации), не относятся к ТКО и не входят в зону ответственности регионального оператора.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214E2E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58B9" w:rsidRPr="00FE244C">
        <w:rPr>
          <w:rFonts w:ascii="Times New Roman" w:hAnsi="Times New Roman" w:cs="Times New Roman"/>
        </w:rPr>
        <w:t xml:space="preserve">Статьей 1 Закона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89-ФЗ определено, что ТКО являются отходы, образующие</w:t>
      </w:r>
      <w:r w:rsidR="001558B9" w:rsidRPr="00FE244C">
        <w:rPr>
          <w:rFonts w:ascii="Times New Roman" w:hAnsi="Times New Roman" w:cs="Times New Roman"/>
        </w:rPr>
        <w:t>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Таким образом, исходя </w:t>
      </w:r>
      <w:r w:rsidRPr="00FE244C">
        <w:rPr>
          <w:rFonts w:ascii="Times New Roman" w:hAnsi="Times New Roman" w:cs="Times New Roman"/>
        </w:rPr>
        <w:t>из указанного определения, отходы, образующиеся в результате жизнедеятельности физических лиц в процессе отопления частных домовладений и помещений твердым топливом (дрова, уголь) могут быть отнесены к ТКО на основании основного признака, как отходы, образ</w:t>
      </w:r>
      <w:r w:rsidRPr="00FE244C">
        <w:rPr>
          <w:rFonts w:ascii="Times New Roman" w:hAnsi="Times New Roman" w:cs="Times New Roman"/>
        </w:rPr>
        <w:t>ованные внутри жилого помещения, и также подлежат вывозу региональным оператором в рамках установленного единого тарифа на услугу по обращению с ТКО.</w:t>
      </w:r>
      <w:proofErr w:type="gramEnd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Одновременно Минприроды России сообщает, что в соответствии с абзацем вторым пункта 14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 в кон</w:t>
      </w:r>
      <w:r w:rsidRPr="00FE244C">
        <w:rPr>
          <w:rFonts w:ascii="Times New Roman" w:hAnsi="Times New Roman" w:cs="Times New Roman"/>
        </w:rPr>
        <w:t xml:space="preserve">тейнерах запрещается складировать, в частности,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</w:t>
      </w:r>
      <w:r w:rsidRPr="00FE244C">
        <w:rPr>
          <w:rFonts w:ascii="Times New Roman" w:hAnsi="Times New Roman" w:cs="Times New Roman"/>
        </w:rPr>
        <w:t>режим работы объектов по обработке, обезвреживанию, захоронению ТКО.</w:t>
      </w:r>
      <w:proofErr w:type="gramEnd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Следовательно, если образованные физическими лицами отходы в результате отопления частных домовладений и помещений твердым топливом (дрова, уголь) в конкретном случае являются горящими, р</w:t>
      </w:r>
      <w:r w:rsidRPr="00FE244C">
        <w:rPr>
          <w:rFonts w:ascii="Times New Roman" w:hAnsi="Times New Roman" w:cs="Times New Roman"/>
        </w:rPr>
        <w:t>аскаленными или горячими отходами, то их складирование в контейнерах не допускается.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214E2E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1558B9" w:rsidRPr="00FE244C">
        <w:rPr>
          <w:rFonts w:ascii="Times New Roman" w:hAnsi="Times New Roman" w:cs="Times New Roman"/>
        </w:rPr>
        <w:t xml:space="preserve">Согласно статье 24.6 Закона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89-ФЗ сбор, транспортирование, обработка, утилизация, обезвреживание, захоронение ТКО на территории субъекта Российской Федерации обеспечиваю</w:t>
      </w:r>
      <w:r w:rsidR="001558B9" w:rsidRPr="00FE244C">
        <w:rPr>
          <w:rFonts w:ascii="Times New Roman" w:hAnsi="Times New Roman" w:cs="Times New Roman"/>
        </w:rPr>
        <w:t>тся одним или несколькими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отходами, в том числе с ТКО.</w:t>
      </w:r>
      <w:proofErr w:type="gramEnd"/>
      <w:r w:rsidR="001558B9" w:rsidRPr="00FE244C">
        <w:rPr>
          <w:rFonts w:ascii="Times New Roman" w:hAnsi="Times New Roman" w:cs="Times New Roman"/>
        </w:rPr>
        <w:t xml:space="preserve"> При этом накопление, сбор, транспортирование, </w:t>
      </w:r>
      <w:r w:rsidR="001558B9" w:rsidRPr="00FE244C">
        <w:rPr>
          <w:rFonts w:ascii="Times New Roman" w:hAnsi="Times New Roman" w:cs="Times New Roman"/>
        </w:rPr>
        <w:t xml:space="preserve">обработка, утилизация, обезвреживание и захоронение ТКО осуществляются в соответствии с Правилами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1156.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Пунктом 13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1156 и пунктом 148(12)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354 установлено, что региональный оператор несет ответственность за обращение с ТКО с момента погрузки таких отходов в мусоровоз. При этом погрузка ТКО включает в себя уборку мест погрузки ТКО, под которой, согласно пункту 2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1156, понимаются дейст</w:t>
      </w:r>
      <w:r w:rsidRPr="00FE244C">
        <w:rPr>
          <w:rFonts w:ascii="Times New Roman" w:hAnsi="Times New Roman" w:cs="Times New Roman"/>
        </w:rPr>
        <w:t xml:space="preserve">вия по подбору оброненных (просыпавшихся и др.) при погрузке ТКО и перемещению их в мусоровоз. </w:t>
      </w:r>
      <w:proofErr w:type="gramStart"/>
      <w:r w:rsidRPr="00FE244C">
        <w:rPr>
          <w:rFonts w:ascii="Times New Roman" w:hAnsi="Times New Roman" w:cs="Times New Roman"/>
        </w:rPr>
        <w:t>Необходимая валовая выручка регионального оператора, в числе прочего, включает расходы на уборку мест погрузки ТКО (действия по подбору оброненных (просыпавшихся</w:t>
      </w:r>
      <w:r w:rsidRPr="00FE244C">
        <w:rPr>
          <w:rFonts w:ascii="Times New Roman" w:hAnsi="Times New Roman" w:cs="Times New Roman"/>
        </w:rPr>
        <w:t xml:space="preserve"> и др.) при погрузке ТКО и 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484 (далее - </w:t>
      </w:r>
      <w:r w:rsidRPr="00FE244C">
        <w:rPr>
          <w:rFonts w:ascii="Times New Roman" w:hAnsi="Times New Roman" w:cs="Times New Roman"/>
        </w:rPr>
        <w:t>Основы ценообразования).</w:t>
      </w:r>
      <w:proofErr w:type="gramEnd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214E2E">
        <w:rPr>
          <w:rFonts w:ascii="Times New Roman" w:hAnsi="Times New Roman" w:cs="Times New Roman"/>
          <w:b/>
        </w:rPr>
        <w:t>Таким образом, уборка мест погрузки ТКО - действия по подбору оброненных (просыпавшихся и др.) при погрузке ТКО и перемещению их в мусоровоз, является обязанностью регионального оператора.</w:t>
      </w:r>
    </w:p>
    <w:p w:rsidR="00EC62B2" w:rsidRPr="00214E2E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lastRenderedPageBreak/>
        <w:t>В соответствии с положениями статьи 8 Зако</w:t>
      </w:r>
      <w:r w:rsidRPr="00FE244C">
        <w:rPr>
          <w:rFonts w:ascii="Times New Roman" w:hAnsi="Times New Roman" w:cs="Times New Roman"/>
        </w:rPr>
        <w:t xml:space="preserve">на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89-ФЗ с 1 января 2019 г. органы местного самоуправления городских поселений, муниципальных районов, городских округов уполномочены на создание и содержание мест (площадок) накопления ТКО, за исключением установленных законодательством Российской Федер</w:t>
      </w:r>
      <w:r w:rsidRPr="00FE244C">
        <w:rPr>
          <w:rFonts w:ascii="Times New Roman" w:hAnsi="Times New Roman" w:cs="Times New Roman"/>
        </w:rPr>
        <w:t>ации случаев, когда такая обязанность лежит на других лицах.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Подпунктом 18 пункта 1 статьи 14 Федерального закона от 6 октября 2003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131- ФЗ "Об общих принципах организации местного самоуправления в Российской Федерации" (далее - Закон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131-ФЗ) к вопр</w:t>
      </w:r>
      <w:r w:rsidRPr="00FE244C">
        <w:rPr>
          <w:rFonts w:ascii="Times New Roman" w:hAnsi="Times New Roman" w:cs="Times New Roman"/>
        </w:rPr>
        <w:t>осам местного значения городского поселения отнесено участие в организации деятельности по накоплению (в том числе раздельному накоплению) и транспортированию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>Работы по содержанию мест (площадок) накопления ТКО включают в себя их обслуживание (покраск</w:t>
      </w:r>
      <w:r w:rsidRPr="00FE244C">
        <w:rPr>
          <w:rFonts w:ascii="Times New Roman" w:hAnsi="Times New Roman" w:cs="Times New Roman"/>
        </w:rPr>
        <w:t xml:space="preserve">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мусора вокруг </w:t>
      </w:r>
      <w:r w:rsidRPr="00FE244C">
        <w:rPr>
          <w:rFonts w:ascii="Times New Roman" w:hAnsi="Times New Roman" w:cs="Times New Roman"/>
        </w:rPr>
        <w:t>контейнеров, и т.д.</w:t>
      </w:r>
      <w:proofErr w:type="gramEnd"/>
      <w:r w:rsidRPr="00FE244C">
        <w:rPr>
          <w:rFonts w:ascii="Times New Roman" w:hAnsi="Times New Roman" w:cs="Times New Roman"/>
        </w:rPr>
        <w:t xml:space="preserve">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</w:t>
      </w:r>
      <w:proofErr w:type="gramStart"/>
      <w:r w:rsidRPr="00FE244C">
        <w:rPr>
          <w:rFonts w:ascii="Times New Roman" w:hAnsi="Times New Roman" w:cs="Times New Roman"/>
        </w:rPr>
        <w:t>обязанность</w:t>
      </w:r>
      <w:proofErr w:type="gramEnd"/>
      <w:r w:rsidRPr="00FE244C">
        <w:rPr>
          <w:rFonts w:ascii="Times New Roman" w:hAnsi="Times New Roman" w:cs="Times New Roman"/>
        </w:rPr>
        <w:t xml:space="preserve"> по осуществлению которой возложена на регионального операто</w:t>
      </w:r>
      <w:r w:rsidRPr="00FE244C">
        <w:rPr>
          <w:rFonts w:ascii="Times New Roman" w:hAnsi="Times New Roman" w:cs="Times New Roman"/>
        </w:rPr>
        <w:t>ра.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соответствии с частью 1 статьи 36 ЖК РФ собственникам помещений в МКД принадлежит на праве общей долевой собственности общее имущество в МКД.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Согласно части 1 статьи 39 ЖК РФ собственники помещений в МКД несут бремя расходов на содержание общего имущ</w:t>
      </w:r>
      <w:r w:rsidRPr="00FE244C">
        <w:rPr>
          <w:rFonts w:ascii="Times New Roman" w:hAnsi="Times New Roman" w:cs="Times New Roman"/>
        </w:rPr>
        <w:t>ества в МКД.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FE244C">
        <w:rPr>
          <w:rFonts w:ascii="Times New Roman" w:hAnsi="Times New Roman" w:cs="Times New Roman"/>
        </w:rPr>
        <w:t xml:space="preserve">Структура платы за жилое помещение и коммунальные услуги для собственника помещения в МКД </w:t>
      </w:r>
      <w:r w:rsidRPr="00FE244C">
        <w:rPr>
          <w:rFonts w:ascii="Times New Roman" w:hAnsi="Times New Roman" w:cs="Times New Roman"/>
        </w:rPr>
        <w:t xml:space="preserve">определена частью 2 статьи 154 ЖК РФ и включает в себя, помимо прочего, плату за услуги, работы по управлению МКД, </w:t>
      </w:r>
      <w:r w:rsidRPr="00F5285C">
        <w:rPr>
          <w:rFonts w:ascii="Times New Roman" w:hAnsi="Times New Roman" w:cs="Times New Roman"/>
          <w:b/>
        </w:rPr>
        <w:t>за содержание и текущий ремонт общего имущества в МКД.</w:t>
      </w:r>
    </w:p>
    <w:p w:rsidR="00EC62B2" w:rsidRPr="00F5285C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Требования к содержанию общего имущества предусмотрены пунктом 10 Правил содержания об</w:t>
      </w:r>
      <w:r w:rsidRPr="00FE244C">
        <w:rPr>
          <w:rFonts w:ascii="Times New Roman" w:hAnsi="Times New Roman" w:cs="Times New Roman"/>
        </w:rPr>
        <w:t xml:space="preserve">щего имущества в многоквартирном доме, утвержденных постановлением Правительства Российской Федерации от 13 августа 2006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491 (далее - Правила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491).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F5285C">
        <w:rPr>
          <w:rFonts w:ascii="Times New Roman" w:hAnsi="Times New Roman" w:cs="Times New Roman"/>
          <w:b/>
        </w:rPr>
        <w:t xml:space="preserve">В соответствии с пунктом 2 Правил </w:t>
      </w:r>
      <w:r w:rsidRPr="00F5285C">
        <w:rPr>
          <w:rFonts w:ascii="Times New Roman" w:hAnsi="Times New Roman" w:cs="Times New Roman"/>
          <w:b/>
        </w:rPr>
        <w:t>N</w:t>
      </w:r>
      <w:r w:rsidRPr="00F5285C">
        <w:rPr>
          <w:rFonts w:ascii="Times New Roman" w:hAnsi="Times New Roman" w:cs="Times New Roman"/>
          <w:b/>
        </w:rPr>
        <w:t xml:space="preserve"> </w:t>
      </w:r>
      <w:r w:rsidRPr="00F5285C">
        <w:rPr>
          <w:rFonts w:ascii="Times New Roman" w:hAnsi="Times New Roman" w:cs="Times New Roman"/>
          <w:b/>
        </w:rPr>
        <w:t>491 в состав общего имущества включаются земельный участок, на ко</w:t>
      </w:r>
      <w:r w:rsidRPr="00F5285C">
        <w:rPr>
          <w:rFonts w:ascii="Times New Roman" w:hAnsi="Times New Roman" w:cs="Times New Roman"/>
          <w:b/>
        </w:rPr>
        <w:t>тором расположен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C62B2" w:rsidRPr="00F5285C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Согласно подпункту "д(2)" пункта 11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491, содержание общего имущества включает в себя, в том числ</w:t>
      </w:r>
      <w:r w:rsidRPr="00FE244C">
        <w:rPr>
          <w:rFonts w:ascii="Times New Roman" w:hAnsi="Times New Roman" w:cs="Times New Roman"/>
        </w:rPr>
        <w:t xml:space="preserve">е, содержание мест накопления ТКО в соответствии с установленными требованиями. При этом указанные работы не включают уборку мест погрузки ТКО, под которой, согласно пункту 2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1156, понимаются действия по подбору оброненных (просыпавшихся и др.) пр</w:t>
      </w:r>
      <w:r w:rsidRPr="00FE244C">
        <w:rPr>
          <w:rFonts w:ascii="Times New Roman" w:hAnsi="Times New Roman" w:cs="Times New Roman"/>
        </w:rPr>
        <w:t>и погрузке ТКО и перемещению их в мусоровоз.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При этом в соответствии с пунктом 17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491,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Перечень </w:t>
      </w:r>
      <w:r w:rsidRPr="00FE244C">
        <w:rPr>
          <w:rFonts w:ascii="Times New Roman" w:hAnsi="Times New Roman" w:cs="Times New Roman"/>
        </w:rPr>
        <w:t xml:space="preserve">услуг и работ из числа включенных в минимальный перечень услуг и работ, необходимых для обеспечения надлежащего содержания общего имущества в МКД, </w:t>
      </w:r>
      <w:r w:rsidRPr="00FE244C">
        <w:rPr>
          <w:rFonts w:ascii="Times New Roman" w:hAnsi="Times New Roman" w:cs="Times New Roman"/>
        </w:rPr>
        <w:lastRenderedPageBreak/>
        <w:t>периодичность их оказания и выполнения определяются и отражаются в зависимости от выбранного и реализованного</w:t>
      </w:r>
      <w:r w:rsidRPr="00FE244C">
        <w:rPr>
          <w:rFonts w:ascii="Times New Roman" w:hAnsi="Times New Roman" w:cs="Times New Roman"/>
        </w:rPr>
        <w:t xml:space="preserve"> способа управления МКД:</w:t>
      </w:r>
    </w:p>
    <w:p w:rsidR="008254C0" w:rsidRPr="00FE244C" w:rsidRDefault="00F5285C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58B9" w:rsidRPr="00FE244C">
        <w:rPr>
          <w:rFonts w:ascii="Times New Roman" w:hAnsi="Times New Roman" w:cs="Times New Roman"/>
        </w:rPr>
        <w:t>в решении общего собрания собственников помещений в МКД - в случае, если управление МКД осуществляется непосредственно собственниками помещений в МКД;</w:t>
      </w:r>
    </w:p>
    <w:p w:rsidR="008254C0" w:rsidRDefault="00F5285C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558B9" w:rsidRPr="00FE244C">
        <w:rPr>
          <w:rFonts w:ascii="Times New Roman" w:hAnsi="Times New Roman" w:cs="Times New Roman"/>
        </w:rPr>
        <w:t>в договоре управления МКД - в случае, если в установленном порядке выбран способ</w:t>
      </w:r>
      <w:r w:rsidR="001558B9" w:rsidRPr="00FE244C">
        <w:rPr>
          <w:rFonts w:ascii="Times New Roman" w:hAnsi="Times New Roman" w:cs="Times New Roman"/>
        </w:rPr>
        <w:t xml:space="preserve"> управления МКД управляющей организацией (пункт 2 Постановления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290).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В Минимальный перечень услуг и работ, необходимых для обеспечения надлежащего содержания общего имущества в МКД, утвержденный Постановлением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290, входят работы по организации и содер</w:t>
      </w:r>
      <w:r w:rsidRPr="00FE244C">
        <w:rPr>
          <w:rFonts w:ascii="Times New Roman" w:hAnsi="Times New Roman" w:cs="Times New Roman"/>
        </w:rPr>
        <w:t xml:space="preserve">жанию мест (площадок) накопления ТКО, включая обслуживание и очистку мусоропроводов, мусороприемных камер, контейнерных площадок. Указанные работы не включают уборку мест погрузки ТКО, под которой понимаются действия по подбору оброненных (просыпавшихся и </w:t>
      </w:r>
      <w:r w:rsidRPr="00FE244C">
        <w:rPr>
          <w:rFonts w:ascii="Times New Roman" w:hAnsi="Times New Roman" w:cs="Times New Roman"/>
        </w:rPr>
        <w:t>др.) при погрузке ТКО и перемещению их в мусоровоз (пункт 26(1) Минимального перечня услуг).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При этом под "организацией" понимается создание мест (площадок) накопления ТКО в соответствии с установленными требованиями. Указанный термин в подобном толковании</w:t>
      </w:r>
      <w:r w:rsidRPr="00FE244C">
        <w:rPr>
          <w:rFonts w:ascii="Times New Roman" w:hAnsi="Times New Roman" w:cs="Times New Roman"/>
        </w:rPr>
        <w:t xml:space="preserve"> используется в пунктах 6.12.6 - 6.12.8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 апреля 2017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711/пр.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AD2582">
        <w:rPr>
          <w:rFonts w:ascii="Times New Roman" w:hAnsi="Times New Roman" w:cs="Times New Roman"/>
          <w:b/>
        </w:rPr>
        <w:t>Таким образом, об</w:t>
      </w:r>
      <w:r w:rsidRPr="00AD2582">
        <w:rPr>
          <w:rFonts w:ascii="Times New Roman" w:hAnsi="Times New Roman" w:cs="Times New Roman"/>
          <w:b/>
        </w:rPr>
        <w:t>язанность по созданию и содержанию мест (площадок) накопления ТКО, не входящих в состав общего имущества собственников помещений в МКД, несут органы местного самоуправления муниципальных образований, в границах которых расположены такие площадки, если иное</w:t>
      </w:r>
      <w:r w:rsidRPr="00AD2582">
        <w:rPr>
          <w:rFonts w:ascii="Times New Roman" w:hAnsi="Times New Roman" w:cs="Times New Roman"/>
          <w:b/>
        </w:rPr>
        <w:t xml:space="preserve"> не </w:t>
      </w:r>
      <w:r w:rsidRPr="00AD2582">
        <w:rPr>
          <w:rFonts w:ascii="Times New Roman" w:hAnsi="Times New Roman" w:cs="Times New Roman"/>
          <w:b/>
        </w:rPr>
        <w:t>установлено законодательством Российской Федерации.</w:t>
      </w:r>
    </w:p>
    <w:p w:rsidR="00EC62B2" w:rsidRPr="00AD2582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>Из комплексного анализа законодательства Российской Федерации следует, что обязанность по созданию и содержанию мест (площадок) накопления ТКО, включая обслуживание и очистку мусоропроводов, мусоропри</w:t>
      </w:r>
      <w:r w:rsidRPr="00FE244C">
        <w:rPr>
          <w:rFonts w:ascii="Times New Roman" w:hAnsi="Times New Roman" w:cs="Times New Roman"/>
        </w:rPr>
        <w:t>емных камер, в том числе по выкату контейнеров из мусороприемных камер до мест накопления ТКО, контейнерных площадок, расположенных на земельных участках, входящих в общедомовое имущество, лежит на собственниках помещений МКД или лицах, осуществляющих упра</w:t>
      </w:r>
      <w:r w:rsidRPr="00FE244C">
        <w:rPr>
          <w:rFonts w:ascii="Times New Roman" w:hAnsi="Times New Roman" w:cs="Times New Roman"/>
        </w:rPr>
        <w:t>вление МКД.</w:t>
      </w:r>
      <w:proofErr w:type="gramEnd"/>
      <w:r w:rsidRPr="00FE244C">
        <w:rPr>
          <w:rFonts w:ascii="Times New Roman" w:hAnsi="Times New Roman" w:cs="Times New Roman"/>
        </w:rPr>
        <w:t xml:space="preserve"> При этом плаза за организацию и содержание мест накопления ТКО, включая обслуживание и очистку мусоропроводов, мусороприемных камер, в том числе выкат контейнеров из мусороприемных камер до мест накопления ТКО, контейнерных площадок, входит в с</w:t>
      </w:r>
      <w:r w:rsidRPr="00FE244C">
        <w:rPr>
          <w:rFonts w:ascii="Times New Roman" w:hAnsi="Times New Roman" w:cs="Times New Roman"/>
        </w:rPr>
        <w:t>остав платы за содержание жилого помещения, оплачиваемой собственниками помещения в МКД.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(площад</w:t>
      </w:r>
      <w:r w:rsidRPr="00FE244C">
        <w:rPr>
          <w:rFonts w:ascii="Times New Roman" w:hAnsi="Times New Roman" w:cs="Times New Roman"/>
        </w:rPr>
        <w:t>ок) накопления ТКО.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Минприроды России сообщает следующее.</w:t>
      </w: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Пунктом 3.7.1 Правил и норм технической эксплуатации жилищного фонда, утвержденных постановлением Госстроя России от 27 сентября 2003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170, в числе прочих, предусмотрены следующие обязанности </w:t>
      </w:r>
      <w:r w:rsidRPr="00FE244C">
        <w:rPr>
          <w:rFonts w:ascii="Times New Roman" w:hAnsi="Times New Roman" w:cs="Times New Roman"/>
        </w:rPr>
        <w:t>организации по обслуживанию жилищного фонда:</w:t>
      </w:r>
    </w:p>
    <w:p w:rsidR="008254C0" w:rsidRDefault="00AD2582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58B9" w:rsidRPr="00FE244C">
        <w:rPr>
          <w:rFonts w:ascii="Times New Roman" w:hAnsi="Times New Roman" w:cs="Times New Roman"/>
        </w:rPr>
        <w:t>установка на обслуживаемых территориях сборников для твердых отходов;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58B9" w:rsidRPr="00FE244C">
        <w:rPr>
          <w:rFonts w:ascii="Times New Roman" w:hAnsi="Times New Roman" w:cs="Times New Roman"/>
        </w:rPr>
        <w:t>содержание в исправном состоянии контейнеров и мусоросборников для отходов (кроме контейнеров и мусоросборников, находящихся на балансе други</w:t>
      </w:r>
      <w:r w:rsidR="001558B9" w:rsidRPr="00FE244C">
        <w:rPr>
          <w:rFonts w:ascii="Times New Roman" w:hAnsi="Times New Roman" w:cs="Times New Roman"/>
        </w:rPr>
        <w:t>х организаций) без переполнения и загрязнения территории.</w:t>
      </w: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Организация и содержание контейнерной площадки невозможно без наличия на ней контейнера. Контейнер является неотъемлемой частью контейнерной площадки.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AD2582">
        <w:rPr>
          <w:rFonts w:ascii="Times New Roman" w:hAnsi="Times New Roman" w:cs="Times New Roman"/>
          <w:b/>
        </w:rPr>
        <w:t>Необходимая валовая выручка регионального опера</w:t>
      </w:r>
      <w:r w:rsidRPr="00AD2582">
        <w:rPr>
          <w:rFonts w:ascii="Times New Roman" w:hAnsi="Times New Roman" w:cs="Times New Roman"/>
          <w:b/>
        </w:rPr>
        <w:t xml:space="preserve">тора, в том числе, включает </w:t>
      </w:r>
      <w:r w:rsidRPr="00AD2582">
        <w:rPr>
          <w:rFonts w:ascii="Times New Roman" w:hAnsi="Times New Roman" w:cs="Times New Roman"/>
          <w:b/>
        </w:rPr>
        <w:lastRenderedPageBreak/>
        <w:t>расходы на приобретение контейнеров и бункеров и их содержание в размере не более 1% от необходимой валовой выручки на очередной период регулирования (пункт 90 Основ ценообразования).</w:t>
      </w:r>
    </w:p>
    <w:p w:rsidR="00AD2582" w:rsidRPr="00AD2582" w:rsidRDefault="00AD258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Учитывая вышеизложенные требования законодат</w:t>
      </w:r>
      <w:r w:rsidRPr="00FE244C">
        <w:rPr>
          <w:rFonts w:ascii="Times New Roman" w:hAnsi="Times New Roman" w:cs="Times New Roman"/>
        </w:rPr>
        <w:t>ельства Российской Федерации, приобретение контейнеров и бункеров для накопления (складирования) ТКО и их</w:t>
      </w:r>
      <w:r w:rsidR="00AD2582">
        <w:rPr>
          <w:rFonts w:ascii="Times New Roman" w:hAnsi="Times New Roman" w:cs="Times New Roman"/>
        </w:rPr>
        <w:t xml:space="preserve"> </w:t>
      </w:r>
      <w:r w:rsidRPr="00AD2582">
        <w:rPr>
          <w:rFonts w:ascii="Times New Roman" w:hAnsi="Times New Roman" w:cs="Times New Roman"/>
          <w:b/>
        </w:rPr>
        <w:t>содержанию может осуществляться региональным оператором, но только в пределах, не превышающих 1% необходимой валовой выручки регионального оператора н</w:t>
      </w:r>
      <w:r w:rsidRPr="00AD2582">
        <w:rPr>
          <w:rFonts w:ascii="Times New Roman" w:hAnsi="Times New Roman" w:cs="Times New Roman"/>
          <w:b/>
        </w:rPr>
        <w:t>а очередной период регулирования</w:t>
      </w:r>
      <w:r w:rsidRPr="00FE244C">
        <w:rPr>
          <w:rFonts w:ascii="Times New Roman" w:hAnsi="Times New Roman" w:cs="Times New Roman"/>
        </w:rPr>
        <w:t xml:space="preserve">, </w:t>
      </w:r>
      <w:r w:rsidRPr="00FE244C">
        <w:rPr>
          <w:rFonts w:ascii="Times New Roman" w:hAnsi="Times New Roman" w:cs="Times New Roman"/>
        </w:rPr>
        <w:t>при учете органом регулирования тарифов соответствующих расходов.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По общему правилу, контейнеры могут приобретаться, в частности, собственниками земельных участков, на которых расположены места (площадки) накопления ТКО, о</w:t>
      </w:r>
      <w:r w:rsidRPr="00FE244C">
        <w:rPr>
          <w:rFonts w:ascii="Times New Roman" w:hAnsi="Times New Roman" w:cs="Times New Roman"/>
        </w:rPr>
        <w:t>рганами местного самоуправления, создавшими места (площадки) накопления ТКО в соответствии с действующим законодательством, лицами, осуществляющими управление МКД, потребителями.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AD2582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1558B9" w:rsidRPr="00FE244C">
        <w:rPr>
          <w:rFonts w:ascii="Times New Roman" w:hAnsi="Times New Roman" w:cs="Times New Roman"/>
        </w:rPr>
        <w:t xml:space="preserve">Согласно пункту 16 Правил </w:t>
      </w:r>
      <w:r w:rsidR="001558B9" w:rsidRPr="00FE244C">
        <w:rPr>
          <w:rFonts w:ascii="Times New Roman" w:hAnsi="Times New Roman" w:cs="Times New Roman"/>
        </w:rPr>
        <w:t>N</w:t>
      </w:r>
      <w:r w:rsidR="001558B9" w:rsidRPr="00FE244C">
        <w:rPr>
          <w:rFonts w:ascii="Times New Roman" w:hAnsi="Times New Roman" w:cs="Times New Roman"/>
        </w:rPr>
        <w:t xml:space="preserve"> </w:t>
      </w:r>
      <w:r w:rsidR="001558B9" w:rsidRPr="00FE244C">
        <w:rPr>
          <w:rFonts w:ascii="Times New Roman" w:hAnsi="Times New Roman" w:cs="Times New Roman"/>
        </w:rPr>
        <w:t>1156 в случае обнаружения региональным оператором</w:t>
      </w:r>
      <w:r w:rsidR="001558B9" w:rsidRPr="00FE244C">
        <w:rPr>
          <w:rFonts w:ascii="Times New Roman" w:hAnsi="Times New Roman" w:cs="Times New Roman"/>
        </w:rPr>
        <w:t xml:space="preserve"> места складирования ТКО,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ТКО), региональный оператор обязан в течение 5 рабочих дней ув</w:t>
      </w:r>
      <w:r w:rsidR="001558B9" w:rsidRPr="00FE244C">
        <w:rPr>
          <w:rFonts w:ascii="Times New Roman" w:hAnsi="Times New Roman" w:cs="Times New Roman"/>
        </w:rPr>
        <w:t>едомить собственника земельного участка, орган местного самоуправления (далее - орган МСУ) и орган, осуществляющий</w:t>
      </w:r>
      <w:proofErr w:type="gramEnd"/>
      <w:r w:rsidR="001558B9" w:rsidRPr="00FE244C">
        <w:rPr>
          <w:rFonts w:ascii="Times New Roman" w:hAnsi="Times New Roman" w:cs="Times New Roman"/>
        </w:rPr>
        <w:t xml:space="preserve"> государственный экологический надзор, об обнаружении места несанкционированного размещения ТКО; уведомить собственника земельного участка о н</w:t>
      </w:r>
      <w:r w:rsidR="001558B9" w:rsidRPr="00FE244C">
        <w:rPr>
          <w:rFonts w:ascii="Times New Roman" w:hAnsi="Times New Roman" w:cs="Times New Roman"/>
        </w:rPr>
        <w:t>еобходимости ликвидации места несанкционированного размещения ТКО в течение 30 дней.</w:t>
      </w:r>
    </w:p>
    <w:p w:rsidR="00AD2582" w:rsidRPr="00FE244C" w:rsidRDefault="00AD258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Согласно части 2 статьи 11 Земельного кодекса Российской Федерации (далее - ЗК РФ) органами местного самоуправления осуществляются управление и распоряжение земельными уча</w:t>
      </w:r>
      <w:r w:rsidRPr="00FE244C">
        <w:rPr>
          <w:rFonts w:ascii="Times New Roman" w:hAnsi="Times New Roman" w:cs="Times New Roman"/>
        </w:rPr>
        <w:t>стками, находящимися в муниципальной собственности.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Подпунктом 18 пункта 1 статьи 14 Закона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131-ФЗ к вопросам местного значения городского поселения отнесено участие в организации деятельности по накоплению (в том числе раздельному накоплению) и транспор</w:t>
      </w:r>
      <w:r w:rsidRPr="00FE244C">
        <w:rPr>
          <w:rFonts w:ascii="Times New Roman" w:hAnsi="Times New Roman" w:cs="Times New Roman"/>
        </w:rPr>
        <w:t>тированию ТКО.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В соответствии с пунктом 1 статьи 7 Федерального закона от 10 января 2002 г.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7- ФЗ "Об охране окружающей среды" (далее - Закон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7-ФЗ) к вопросам местного значения муниципального района относится организация мероприятий </w:t>
      </w:r>
      <w:proofErr w:type="spellStart"/>
      <w:r w:rsidRPr="00FE244C">
        <w:rPr>
          <w:rFonts w:ascii="Times New Roman" w:hAnsi="Times New Roman" w:cs="Times New Roman"/>
        </w:rPr>
        <w:t>межпоселенческого</w:t>
      </w:r>
      <w:proofErr w:type="spellEnd"/>
      <w:r w:rsidRPr="00FE244C">
        <w:rPr>
          <w:rFonts w:ascii="Times New Roman" w:hAnsi="Times New Roman" w:cs="Times New Roman"/>
        </w:rPr>
        <w:t xml:space="preserve"> х</w:t>
      </w:r>
      <w:r w:rsidRPr="00FE244C">
        <w:rPr>
          <w:rFonts w:ascii="Times New Roman" w:hAnsi="Times New Roman" w:cs="Times New Roman"/>
        </w:rPr>
        <w:t>арактера по охране окружающей среды.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  <w:b/>
        </w:rPr>
      </w:pPr>
      <w:r w:rsidRPr="00EC62B2">
        <w:rPr>
          <w:rFonts w:ascii="Times New Roman" w:hAnsi="Times New Roman" w:cs="Times New Roman"/>
          <w:b/>
        </w:rPr>
        <w:t>Таким образом, прямая обязанность по организации сбора, вывоза, утилизации и переработки бытовых и промышленных отходов на территории муниципального образования возложена на органы МСУ. Непринятие мер к ликвидации несан</w:t>
      </w:r>
      <w:r w:rsidRPr="00EC62B2">
        <w:rPr>
          <w:rFonts w:ascii="Times New Roman" w:hAnsi="Times New Roman" w:cs="Times New Roman"/>
          <w:b/>
        </w:rPr>
        <w:t>кционированной свалки нарушает права граждан на благоприятную окружающую среду.</w:t>
      </w:r>
    </w:p>
    <w:p w:rsidR="00EC62B2" w:rsidRPr="00EC62B2" w:rsidRDefault="00EC62B2" w:rsidP="00FE244C">
      <w:pPr>
        <w:ind w:firstLine="709"/>
        <w:jc w:val="both"/>
        <w:rPr>
          <w:rFonts w:ascii="Times New Roman" w:hAnsi="Times New Roman" w:cs="Times New Roman"/>
          <w:b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244C">
        <w:rPr>
          <w:rFonts w:ascii="Times New Roman" w:hAnsi="Times New Roman" w:cs="Times New Roman"/>
        </w:rPr>
        <w:t xml:space="preserve">Закрепление в пункте 14 части 1 статьи 15 Закона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131-ФЗ в качестве вопроса местного значения муниципального района участие в организации деятельности по накоплению (в том чис</w:t>
      </w:r>
      <w:r w:rsidRPr="00FE244C">
        <w:rPr>
          <w:rFonts w:ascii="Times New Roman" w:hAnsi="Times New Roman" w:cs="Times New Roman"/>
        </w:rPr>
        <w:t>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</w:t>
      </w:r>
      <w:r w:rsidRPr="00FE244C">
        <w:rPr>
          <w:rFonts w:ascii="Times New Roman" w:hAnsi="Times New Roman" w:cs="Times New Roman"/>
        </w:rPr>
        <w:t>о-властного характера по налаживанию устойчивой и согласованно функционирующей системы мер</w:t>
      </w:r>
      <w:proofErr w:type="gramEnd"/>
      <w:r w:rsidRPr="00FE244C">
        <w:rPr>
          <w:rFonts w:ascii="Times New Roman" w:hAnsi="Times New Roman" w:cs="Times New Roman"/>
        </w:rPr>
        <w:t xml:space="preserve">,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отходами, а </w:t>
      </w:r>
      <w:r w:rsidRPr="00FE244C">
        <w:rPr>
          <w:rFonts w:ascii="Times New Roman" w:hAnsi="Times New Roman" w:cs="Times New Roman"/>
        </w:rPr>
        <w:t>также позволяющих производить их утилизацию и обработку.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Пунктом 7.8 "ГОСТ 30772-2001. Межгосударственный стандарт. Ресурсосбережение. Обращение с отходами. Термины и определения" установлено, что собственником отходов является юридическое лицо, индивидуал</w:t>
      </w:r>
      <w:r w:rsidRPr="00FE244C">
        <w:rPr>
          <w:rFonts w:ascii="Times New Roman" w:hAnsi="Times New Roman" w:cs="Times New Roman"/>
        </w:rPr>
        <w:t>ьный предприниматель, производящие отходы, в собственности которых они находятся, которые намерены осуществлять заготовку, переработку отходов и другие работы по обращению с отходами, включая их отчуждение. Если это лицо не установлено, собственником отход</w:t>
      </w:r>
      <w:r w:rsidRPr="00FE244C">
        <w:rPr>
          <w:rFonts w:ascii="Times New Roman" w:hAnsi="Times New Roman" w:cs="Times New Roman"/>
        </w:rPr>
        <w:t xml:space="preserve">ов являются органы МСУ, юридические лица или индивидуальные предприниматели, ответственные за территории, на которых эти отходы находятся (примечание к пункту 7.8 ГОСТ 30772- </w:t>
      </w:r>
      <w:r w:rsidRPr="00FE244C">
        <w:rPr>
          <w:rFonts w:ascii="Times New Roman" w:hAnsi="Times New Roman" w:cs="Times New Roman"/>
        </w:rPr>
        <w:t>2001</w:t>
      </w:r>
      <w:r w:rsidRPr="00FE244C">
        <w:rPr>
          <w:rFonts w:ascii="Times New Roman" w:hAnsi="Times New Roman" w:cs="Times New Roman"/>
        </w:rPr>
        <w:t>).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Из анализа приведенных правовых норм следует, что федеральное законодатель</w:t>
      </w:r>
      <w:r w:rsidRPr="00FE244C">
        <w:rPr>
          <w:rFonts w:ascii="Times New Roman" w:hAnsi="Times New Roman" w:cs="Times New Roman"/>
        </w:rPr>
        <w:t>ство</w:t>
      </w: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bookmarkStart w:id="1" w:name="bookmark1"/>
      <w:r w:rsidRPr="00FE244C">
        <w:rPr>
          <w:rFonts w:ascii="Times New Roman" w:hAnsi="Times New Roman" w:cs="Times New Roman"/>
        </w:rPr>
        <w:t>не возлагает на граждан и юридических лиц обязанности по содержанию иных территорий, кроме земельных участков, находящихся в их собственности или владении.</w:t>
      </w:r>
      <w:bookmarkEnd w:id="1"/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 xml:space="preserve">Таким образом, обязанность по ликвидации несанкционированных свалок ТКО, расположенных на </w:t>
      </w:r>
      <w:r w:rsidRPr="00FE244C">
        <w:rPr>
          <w:rFonts w:ascii="Times New Roman" w:hAnsi="Times New Roman" w:cs="Times New Roman"/>
        </w:rPr>
        <w:t>неразграниченных землях, возлагается на органы МСУ.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bookmarkStart w:id="2" w:name="bookmark2"/>
      <w:r w:rsidRPr="00FE244C">
        <w:rPr>
          <w:rFonts w:ascii="Times New Roman" w:hAnsi="Times New Roman" w:cs="Times New Roman"/>
        </w:rPr>
        <w:t xml:space="preserve">В случае осуществления ликвидации несанкционированной свалки ТКО силами регионального оператора, согласно пункту 17 Правил </w:t>
      </w:r>
      <w:r w:rsidRPr="00FE244C">
        <w:rPr>
          <w:rFonts w:ascii="Times New Roman" w:hAnsi="Times New Roman" w:cs="Times New Roman"/>
        </w:rPr>
        <w:t>N</w:t>
      </w:r>
      <w:r w:rsidRPr="00FE244C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1156, за региональным оператором остается право обращения в суд с требованием о</w:t>
      </w:r>
      <w:r w:rsidRPr="00FE244C">
        <w:rPr>
          <w:rFonts w:ascii="Times New Roman" w:hAnsi="Times New Roman" w:cs="Times New Roman"/>
        </w:rPr>
        <w:t xml:space="preserve"> взыскании понесенных</w:t>
      </w:r>
      <w:bookmarkEnd w:id="2"/>
      <w:r w:rsidR="00EC62B2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убытков.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В соответствии с САНПИН 2.1.3684-21 при накоплении ТКО, в том числе при</w:t>
      </w:r>
      <w:r w:rsidR="00EC62B2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 xml:space="preserve">раздельном сборе отходов, владельцем контейнерной площадки должна быть </w:t>
      </w:r>
      <w:r w:rsidRPr="00FE244C">
        <w:rPr>
          <w:rFonts w:ascii="Times New Roman" w:hAnsi="Times New Roman" w:cs="Times New Roman"/>
        </w:rPr>
        <w:t>исключена возможность попадания отходов из мусоросборников на контейнерную площадк</w:t>
      </w:r>
      <w:r w:rsidRPr="00FE244C">
        <w:rPr>
          <w:rFonts w:ascii="Times New Roman" w:hAnsi="Times New Roman" w:cs="Times New Roman"/>
        </w:rPr>
        <w:t>у.</w:t>
      </w:r>
    </w:p>
    <w:p w:rsidR="00EC62B2" w:rsidRPr="00FE244C" w:rsidRDefault="00EC62B2" w:rsidP="00FE244C">
      <w:pPr>
        <w:ind w:firstLine="709"/>
        <w:jc w:val="both"/>
        <w:rPr>
          <w:rFonts w:ascii="Times New Roman" w:hAnsi="Times New Roman" w:cs="Times New Roman"/>
        </w:rPr>
      </w:pPr>
    </w:p>
    <w:p w:rsidR="008254C0" w:rsidRPr="00FE244C" w:rsidRDefault="001558B9" w:rsidP="00FE244C">
      <w:pPr>
        <w:ind w:firstLine="709"/>
        <w:jc w:val="both"/>
        <w:rPr>
          <w:rFonts w:ascii="Times New Roman" w:hAnsi="Times New Roman" w:cs="Times New Roman"/>
        </w:rPr>
      </w:pPr>
      <w:r w:rsidRPr="00FE244C">
        <w:rPr>
          <w:rFonts w:ascii="Times New Roman" w:hAnsi="Times New Roman" w:cs="Times New Roman"/>
        </w:rPr>
        <w:t>Контейнерная площадка после погрузки ТКО (КГО) в мусоровоз в случае загрязнения при погрузке должна быть очищена от отходов владельцем контейнерной площадки.</w:t>
      </w:r>
      <w:r w:rsidR="00EC62B2">
        <w:rPr>
          <w:rFonts w:ascii="Times New Roman" w:hAnsi="Times New Roman" w:cs="Times New Roman"/>
        </w:rPr>
        <w:t xml:space="preserve"> </w:t>
      </w:r>
      <w:r w:rsidRPr="00FE244C">
        <w:rPr>
          <w:rFonts w:ascii="Times New Roman" w:hAnsi="Times New Roman" w:cs="Times New Roman"/>
        </w:rPr>
        <w:t>В соответствии с САНПИН 2.1.3684-21 уборка, содержание, дезинфекция, дерат</w:t>
      </w:r>
      <w:r w:rsidRPr="00FE244C">
        <w:rPr>
          <w:rFonts w:ascii="Times New Roman" w:hAnsi="Times New Roman" w:cs="Times New Roman"/>
        </w:rPr>
        <w:t>изация контейнерной площадки должны осуществляться ВЛАДЕЛЬЦЕМ контейнерной площадки. Владелец контейнерной площадки - УК, ТСЖ, ЖСК, администрация населенного пункта и др.</w:t>
      </w:r>
    </w:p>
    <w:sectPr w:rsidR="008254C0" w:rsidRPr="00FE244C" w:rsidSect="00FE244C">
      <w:headerReference w:type="default" r:id="rId8"/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9" w:rsidRDefault="001558B9">
      <w:r>
        <w:separator/>
      </w:r>
    </w:p>
  </w:endnote>
  <w:endnote w:type="continuationSeparator" w:id="0">
    <w:p w:rsidR="001558B9" w:rsidRDefault="001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9" w:rsidRDefault="001558B9"/>
  </w:footnote>
  <w:footnote w:type="continuationSeparator" w:id="0">
    <w:p w:rsidR="001558B9" w:rsidRDefault="001558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C0" w:rsidRDefault="0082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97"/>
    <w:multiLevelType w:val="multilevel"/>
    <w:tmpl w:val="AD866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C0AA3"/>
    <w:multiLevelType w:val="multilevel"/>
    <w:tmpl w:val="8B5E0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B39E5"/>
    <w:multiLevelType w:val="multilevel"/>
    <w:tmpl w:val="8A8E0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C4B7F"/>
    <w:multiLevelType w:val="multilevel"/>
    <w:tmpl w:val="2B443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C0"/>
    <w:rsid w:val="001558B9"/>
    <w:rsid w:val="00214E2E"/>
    <w:rsid w:val="008254C0"/>
    <w:rsid w:val="00AD2582"/>
    <w:rsid w:val="00EC62B2"/>
    <w:rsid w:val="00F5285C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8pt">
    <w:name w:val="Основной текст (7) + 8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+ Малые прописные Exact"/>
    <w:basedOn w:val="10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ind w:hanging="12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20"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20" w:line="256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40" w:line="214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E2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44C"/>
    <w:rPr>
      <w:color w:val="000000"/>
    </w:rPr>
  </w:style>
  <w:style w:type="paragraph" w:styleId="a9">
    <w:name w:val="footer"/>
    <w:basedOn w:val="a"/>
    <w:link w:val="aa"/>
    <w:uiPriority w:val="99"/>
    <w:unhideWhenUsed/>
    <w:rsid w:val="00FE2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44C"/>
    <w:rPr>
      <w:color w:val="000000"/>
    </w:rPr>
  </w:style>
  <w:style w:type="paragraph" w:styleId="ab">
    <w:name w:val="List Paragraph"/>
    <w:basedOn w:val="a"/>
    <w:uiPriority w:val="34"/>
    <w:qFormat/>
    <w:rsid w:val="00FE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8pt">
    <w:name w:val="Основной текст (7) + 8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0">
    <w:name w:val="Основной текст (10) + Малые прописные Exact"/>
    <w:basedOn w:val="10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ind w:hanging="12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0" w:line="26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20"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20" w:line="256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40" w:line="214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E24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44C"/>
    <w:rPr>
      <w:color w:val="000000"/>
    </w:rPr>
  </w:style>
  <w:style w:type="paragraph" w:styleId="a9">
    <w:name w:val="footer"/>
    <w:basedOn w:val="a"/>
    <w:link w:val="aa"/>
    <w:uiPriority w:val="99"/>
    <w:unhideWhenUsed/>
    <w:rsid w:val="00FE24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44C"/>
    <w:rPr>
      <w:color w:val="000000"/>
    </w:rPr>
  </w:style>
  <w:style w:type="paragraph" w:styleId="ab">
    <w:name w:val="List Paragraph"/>
    <w:basedOn w:val="a"/>
    <w:uiPriority w:val="34"/>
    <w:qFormat/>
    <w:rsid w:val="00FE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Боброва</dc:creator>
  <cp:lastModifiedBy>Светлана Боброва</cp:lastModifiedBy>
  <cp:revision>1</cp:revision>
  <dcterms:created xsi:type="dcterms:W3CDTF">2021-10-11T13:00:00Z</dcterms:created>
  <dcterms:modified xsi:type="dcterms:W3CDTF">2021-10-11T13:46:00Z</dcterms:modified>
</cp:coreProperties>
</file>